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EA" w:rsidRDefault="0091084D" w:rsidP="0091084D">
      <w:pPr>
        <w:ind w:firstLine="709"/>
        <w:jc w:val="center"/>
        <w:rPr>
          <w:rFonts w:ascii="Garamond" w:hAnsi="Garamond"/>
          <w:b/>
          <w:sz w:val="28"/>
          <w:szCs w:val="28"/>
        </w:rPr>
      </w:pPr>
      <w:r w:rsidRPr="0091084D">
        <w:rPr>
          <w:rFonts w:ascii="Garamond" w:hAnsi="Garamond"/>
          <w:b/>
          <w:sz w:val="28"/>
          <w:szCs w:val="28"/>
        </w:rPr>
        <w:t>TRIBUNALE DI FORLÌ – U.N.E.P.</w:t>
      </w:r>
    </w:p>
    <w:p w:rsidR="0091084D" w:rsidRDefault="0091084D" w:rsidP="007B6846">
      <w:pPr>
        <w:spacing w:after="0" w:line="240" w:lineRule="auto"/>
        <w:ind w:firstLine="709"/>
        <w:jc w:val="right"/>
        <w:rPr>
          <w:rFonts w:ascii="Garamond" w:hAnsi="Garamond"/>
          <w:b/>
          <w:sz w:val="28"/>
          <w:szCs w:val="28"/>
        </w:rPr>
      </w:pPr>
      <w:r>
        <w:rPr>
          <w:rFonts w:ascii="Garamond" w:hAnsi="Garamond"/>
          <w:b/>
          <w:sz w:val="28"/>
          <w:szCs w:val="28"/>
        </w:rPr>
        <w:t>Forlì 1</w:t>
      </w:r>
      <w:r w:rsidR="007B6846">
        <w:rPr>
          <w:rFonts w:ascii="Garamond" w:hAnsi="Garamond"/>
          <w:b/>
          <w:sz w:val="28"/>
          <w:szCs w:val="28"/>
        </w:rPr>
        <w:t>3/9/2021</w:t>
      </w:r>
    </w:p>
    <w:p w:rsidR="00537019" w:rsidRDefault="00537019" w:rsidP="007B6846">
      <w:pPr>
        <w:spacing w:after="0" w:line="240" w:lineRule="auto"/>
        <w:ind w:firstLine="709"/>
        <w:jc w:val="right"/>
        <w:rPr>
          <w:rFonts w:ascii="Garamond" w:hAnsi="Garamond"/>
          <w:b/>
          <w:sz w:val="28"/>
          <w:szCs w:val="28"/>
        </w:rPr>
      </w:pPr>
      <w:r>
        <w:rPr>
          <w:rFonts w:ascii="Garamond" w:hAnsi="Garamond"/>
          <w:b/>
          <w:sz w:val="28"/>
          <w:szCs w:val="28"/>
        </w:rPr>
        <w:t>Al Presidente del Tribunale di Forlì</w:t>
      </w:r>
    </w:p>
    <w:p w:rsidR="00537019" w:rsidRPr="0091084D" w:rsidRDefault="00537019" w:rsidP="007B6846">
      <w:pPr>
        <w:spacing w:after="0" w:line="240" w:lineRule="auto"/>
        <w:ind w:firstLine="709"/>
        <w:jc w:val="right"/>
        <w:rPr>
          <w:rFonts w:ascii="Garamond" w:hAnsi="Garamond"/>
          <w:b/>
          <w:sz w:val="28"/>
          <w:szCs w:val="28"/>
        </w:rPr>
      </w:pPr>
      <w:r>
        <w:rPr>
          <w:rFonts w:ascii="Garamond" w:hAnsi="Garamond"/>
          <w:b/>
          <w:sz w:val="28"/>
          <w:szCs w:val="28"/>
        </w:rPr>
        <w:t>Dott.ssa Rossella Talia</w:t>
      </w:r>
    </w:p>
    <w:p w:rsidR="00C835EA" w:rsidRDefault="00C835EA" w:rsidP="0091084D">
      <w:pPr>
        <w:pBdr>
          <w:top w:val="single" w:sz="4" w:space="1" w:color="auto"/>
          <w:left w:val="single" w:sz="4" w:space="4" w:color="auto"/>
          <w:bottom w:val="single" w:sz="4" w:space="1" w:color="auto"/>
          <w:right w:val="single" w:sz="4" w:space="4" w:color="auto"/>
        </w:pBdr>
        <w:ind w:firstLine="709"/>
        <w:rPr>
          <w:rFonts w:ascii="Garamond" w:hAnsi="Garamond"/>
          <w:sz w:val="28"/>
          <w:szCs w:val="28"/>
        </w:rPr>
      </w:pPr>
      <w:r>
        <w:rPr>
          <w:rFonts w:ascii="Garamond" w:hAnsi="Garamond"/>
          <w:sz w:val="28"/>
          <w:szCs w:val="28"/>
        </w:rPr>
        <w:t>Oggetto: “Richiesta di parere</w:t>
      </w:r>
      <w:r w:rsidR="007B6846">
        <w:rPr>
          <w:rFonts w:ascii="Garamond" w:hAnsi="Garamond"/>
          <w:sz w:val="28"/>
          <w:szCs w:val="28"/>
        </w:rPr>
        <w:t>,</w:t>
      </w:r>
      <w:r>
        <w:rPr>
          <w:rFonts w:ascii="Garamond" w:hAnsi="Garamond"/>
          <w:sz w:val="28"/>
          <w:szCs w:val="28"/>
        </w:rPr>
        <w:t xml:space="preserve"> </w:t>
      </w:r>
      <w:r w:rsidR="007B6846">
        <w:rPr>
          <w:rFonts w:ascii="Garamond" w:hAnsi="Garamond"/>
          <w:sz w:val="28"/>
          <w:szCs w:val="28"/>
        </w:rPr>
        <w:t xml:space="preserve">notificazione </w:t>
      </w:r>
      <w:r>
        <w:rPr>
          <w:rFonts w:ascii="Garamond" w:hAnsi="Garamond"/>
          <w:sz w:val="28"/>
          <w:szCs w:val="28"/>
        </w:rPr>
        <w:t>ex art. 140 c.p.c.</w:t>
      </w:r>
      <w:r w:rsidR="0091084D">
        <w:rPr>
          <w:rFonts w:ascii="Garamond" w:hAnsi="Garamond"/>
          <w:sz w:val="28"/>
          <w:szCs w:val="28"/>
        </w:rPr>
        <w:t>”</w:t>
      </w:r>
    </w:p>
    <w:p w:rsidR="00524263" w:rsidRPr="003B68A5" w:rsidRDefault="00066A44" w:rsidP="00C835EA">
      <w:pPr>
        <w:ind w:firstLine="709"/>
        <w:rPr>
          <w:rFonts w:ascii="Garamond" w:hAnsi="Garamond"/>
          <w:sz w:val="28"/>
          <w:szCs w:val="28"/>
        </w:rPr>
      </w:pPr>
      <w:r w:rsidRPr="003B68A5">
        <w:rPr>
          <w:rFonts w:ascii="Garamond" w:hAnsi="Garamond"/>
          <w:sz w:val="28"/>
          <w:szCs w:val="28"/>
        </w:rPr>
        <w:t>Gentile Presidente,</w:t>
      </w:r>
    </w:p>
    <w:p w:rsidR="00FA1FE0" w:rsidRDefault="00066A44" w:rsidP="00C835EA">
      <w:pPr>
        <w:ind w:firstLine="709"/>
        <w:jc w:val="both"/>
        <w:rPr>
          <w:rFonts w:ascii="Garamond" w:hAnsi="Garamond"/>
          <w:sz w:val="28"/>
          <w:szCs w:val="28"/>
        </w:rPr>
      </w:pPr>
      <w:r w:rsidRPr="003B68A5">
        <w:rPr>
          <w:rFonts w:ascii="Garamond" w:hAnsi="Garamond"/>
          <w:sz w:val="28"/>
          <w:szCs w:val="28"/>
        </w:rPr>
        <w:t xml:space="preserve">Con la presente Le chiedo un parere se ritiene </w:t>
      </w:r>
      <w:r w:rsidR="00F303BD">
        <w:rPr>
          <w:rFonts w:ascii="Garamond" w:hAnsi="Garamond"/>
          <w:sz w:val="28"/>
          <w:szCs w:val="28"/>
        </w:rPr>
        <w:t xml:space="preserve">o meno </w:t>
      </w:r>
      <w:r w:rsidRPr="003B68A5">
        <w:rPr>
          <w:rFonts w:ascii="Garamond" w:hAnsi="Garamond"/>
          <w:sz w:val="28"/>
          <w:szCs w:val="28"/>
        </w:rPr>
        <w:t xml:space="preserve">che sia corretta  la mia interpretazione nella situazione che segue. </w:t>
      </w:r>
    </w:p>
    <w:p w:rsidR="00BC4BDE" w:rsidRPr="003B68A5" w:rsidRDefault="00BC4BDE" w:rsidP="000629DB">
      <w:pPr>
        <w:spacing w:after="0"/>
        <w:ind w:firstLine="709"/>
        <w:jc w:val="both"/>
        <w:rPr>
          <w:rFonts w:ascii="Garamond" w:hAnsi="Garamond"/>
          <w:sz w:val="28"/>
          <w:szCs w:val="28"/>
        </w:rPr>
      </w:pPr>
      <w:r w:rsidRPr="003B68A5">
        <w:rPr>
          <w:rFonts w:ascii="Garamond" w:hAnsi="Garamond"/>
          <w:b/>
          <w:sz w:val="28"/>
          <w:szCs w:val="28"/>
        </w:rPr>
        <w:t>IL FATTO.</w:t>
      </w:r>
      <w:r w:rsidRPr="003B68A5">
        <w:rPr>
          <w:rFonts w:ascii="Garamond" w:hAnsi="Garamond"/>
          <w:sz w:val="28"/>
          <w:szCs w:val="28"/>
        </w:rPr>
        <w:t xml:space="preserve"> Notifica eseguita ai sensi dell’art. 140 c.p.c. in cui l’Ufficiale Giudiziario ha individuato l</w:t>
      </w:r>
      <w:r w:rsidR="00444A2B">
        <w:rPr>
          <w:rFonts w:ascii="Garamond" w:hAnsi="Garamond"/>
          <w:sz w:val="28"/>
          <w:szCs w:val="28"/>
        </w:rPr>
        <w:t>’abitazione del destinatario e</w:t>
      </w:r>
      <w:r w:rsidR="00255D4C">
        <w:rPr>
          <w:rFonts w:ascii="Garamond" w:hAnsi="Garamond"/>
          <w:sz w:val="28"/>
          <w:szCs w:val="28"/>
        </w:rPr>
        <w:t>d</w:t>
      </w:r>
      <w:r w:rsidRPr="003B68A5">
        <w:rPr>
          <w:rFonts w:ascii="Garamond" w:hAnsi="Garamond"/>
          <w:sz w:val="28"/>
          <w:szCs w:val="28"/>
        </w:rPr>
        <w:t xml:space="preserve"> ha proceduto al deposito presso la casa Comunale, affisso avviso alla porta di abitazione  -</w:t>
      </w:r>
      <w:r w:rsidR="00444A2B">
        <w:rPr>
          <w:rFonts w:ascii="Garamond" w:hAnsi="Garamond"/>
          <w:sz w:val="28"/>
          <w:szCs w:val="28"/>
        </w:rPr>
        <w:t xml:space="preserve"> </w:t>
      </w:r>
      <w:r w:rsidRPr="00444A2B">
        <w:rPr>
          <w:rFonts w:ascii="Garamond" w:hAnsi="Garamond"/>
          <w:i/>
          <w:sz w:val="28"/>
          <w:szCs w:val="28"/>
        </w:rPr>
        <w:t>con le informazioni sia della natura dell’atto che l’invito a ritirare l’atto in comune</w:t>
      </w:r>
      <w:r w:rsidRPr="003B68A5">
        <w:rPr>
          <w:rFonts w:ascii="Garamond" w:hAnsi="Garamond"/>
          <w:sz w:val="28"/>
          <w:szCs w:val="28"/>
        </w:rPr>
        <w:t xml:space="preserve"> – e infine </w:t>
      </w:r>
      <w:r w:rsidR="00444A2B">
        <w:rPr>
          <w:rFonts w:ascii="Garamond" w:hAnsi="Garamond"/>
          <w:sz w:val="28"/>
          <w:szCs w:val="28"/>
        </w:rPr>
        <w:t xml:space="preserve">ha spedito </w:t>
      </w:r>
      <w:r w:rsidRPr="003B68A5">
        <w:rPr>
          <w:rFonts w:ascii="Garamond" w:hAnsi="Garamond"/>
          <w:sz w:val="28"/>
          <w:szCs w:val="28"/>
        </w:rPr>
        <w:t>la raccomandata informativa.</w:t>
      </w:r>
    </w:p>
    <w:p w:rsidR="00044559" w:rsidRDefault="00F449E0" w:rsidP="000629DB">
      <w:pPr>
        <w:spacing w:after="0"/>
        <w:ind w:firstLine="709"/>
        <w:jc w:val="both"/>
        <w:rPr>
          <w:rFonts w:ascii="Garamond" w:hAnsi="Garamond"/>
          <w:sz w:val="28"/>
          <w:szCs w:val="28"/>
        </w:rPr>
      </w:pPr>
      <w:r w:rsidRPr="003B68A5">
        <w:rPr>
          <w:rFonts w:ascii="Garamond" w:hAnsi="Garamond"/>
          <w:sz w:val="28"/>
          <w:szCs w:val="28"/>
        </w:rPr>
        <w:t xml:space="preserve">A questo punto, </w:t>
      </w:r>
      <w:r w:rsidRPr="00C835EA">
        <w:rPr>
          <w:rFonts w:ascii="Garamond" w:hAnsi="Garamond"/>
          <w:b/>
          <w:sz w:val="28"/>
          <w:szCs w:val="28"/>
        </w:rPr>
        <w:t>e succede spesso,</w:t>
      </w:r>
      <w:r w:rsidRPr="003B68A5">
        <w:rPr>
          <w:rFonts w:ascii="Garamond" w:hAnsi="Garamond"/>
          <w:sz w:val="28"/>
          <w:szCs w:val="28"/>
        </w:rPr>
        <w:t xml:space="preserve"> l’agente postale quando il nominativo del destinatario </w:t>
      </w:r>
      <w:r w:rsidRPr="00C835EA">
        <w:rPr>
          <w:rFonts w:ascii="Garamond" w:hAnsi="Garamond"/>
          <w:b/>
          <w:sz w:val="28"/>
          <w:szCs w:val="28"/>
        </w:rPr>
        <w:t>non figura nel citofono o nelle cassette postale,</w:t>
      </w:r>
      <w:r w:rsidRPr="003B68A5">
        <w:rPr>
          <w:rFonts w:ascii="Garamond" w:hAnsi="Garamond"/>
          <w:sz w:val="28"/>
          <w:szCs w:val="28"/>
        </w:rPr>
        <w:t xml:space="preserve"> nonostante vi è la certezza </w:t>
      </w:r>
      <w:r w:rsidR="00044559" w:rsidRPr="003B68A5">
        <w:rPr>
          <w:rFonts w:ascii="Garamond" w:hAnsi="Garamond"/>
          <w:sz w:val="28"/>
          <w:szCs w:val="28"/>
        </w:rPr>
        <w:t xml:space="preserve">che il destinatario abita all’indirizzo indicato, restituisce l’atto con </w:t>
      </w:r>
      <w:bookmarkStart w:id="0" w:name="_GoBack"/>
      <w:bookmarkEnd w:id="0"/>
      <w:r w:rsidR="00044559" w:rsidRPr="003B68A5">
        <w:rPr>
          <w:rFonts w:ascii="Garamond" w:hAnsi="Garamond"/>
          <w:sz w:val="28"/>
          <w:szCs w:val="28"/>
        </w:rPr>
        <w:t>l’indicazione irreperibile/sconosciuto senza procedere al deposito della raccomandata presso l’ufficio postale, ma restituendo</w:t>
      </w:r>
      <w:r w:rsidR="00C835EA">
        <w:rPr>
          <w:rFonts w:ascii="Garamond" w:hAnsi="Garamond"/>
          <w:sz w:val="28"/>
          <w:szCs w:val="28"/>
        </w:rPr>
        <w:t xml:space="preserve"> immediatamente</w:t>
      </w:r>
      <w:r w:rsidR="00044559" w:rsidRPr="003B68A5">
        <w:rPr>
          <w:rFonts w:ascii="Garamond" w:hAnsi="Garamond"/>
          <w:sz w:val="28"/>
          <w:szCs w:val="28"/>
        </w:rPr>
        <w:t xml:space="preserve"> la raccomandata al mittente.</w:t>
      </w:r>
      <w:r w:rsidRPr="003B68A5">
        <w:rPr>
          <w:rFonts w:ascii="Garamond" w:hAnsi="Garamond"/>
          <w:sz w:val="28"/>
          <w:szCs w:val="28"/>
        </w:rPr>
        <w:t xml:space="preserve"> </w:t>
      </w:r>
      <w:r w:rsidR="00044559" w:rsidRPr="003B68A5">
        <w:rPr>
          <w:rFonts w:ascii="Garamond" w:hAnsi="Garamond"/>
          <w:sz w:val="28"/>
          <w:szCs w:val="28"/>
        </w:rPr>
        <w:t>In questo modo, la notificazione potrebbe essere dichiarata nulla</w:t>
      </w:r>
      <w:r w:rsidR="00C835EA">
        <w:rPr>
          <w:rFonts w:ascii="Garamond" w:hAnsi="Garamond"/>
          <w:sz w:val="28"/>
          <w:szCs w:val="28"/>
        </w:rPr>
        <w:t>, come afferma la Cassazione,</w:t>
      </w:r>
      <w:r w:rsidR="00044559" w:rsidRPr="003B68A5">
        <w:rPr>
          <w:rFonts w:ascii="Garamond" w:hAnsi="Garamond"/>
          <w:sz w:val="28"/>
          <w:szCs w:val="28"/>
        </w:rPr>
        <w:t xml:space="preserve"> in quanto l’iter del procedimento notificatorio non si è perfezionato.</w:t>
      </w:r>
    </w:p>
    <w:p w:rsidR="000629DB" w:rsidRDefault="000629DB" w:rsidP="000629DB">
      <w:pPr>
        <w:spacing w:after="0"/>
        <w:ind w:firstLine="709"/>
        <w:jc w:val="both"/>
        <w:rPr>
          <w:rFonts w:ascii="Garamond" w:hAnsi="Garamond"/>
          <w:sz w:val="28"/>
          <w:szCs w:val="28"/>
        </w:rPr>
      </w:pPr>
    </w:p>
    <w:p w:rsidR="000629DB" w:rsidRPr="003B68A5" w:rsidRDefault="000629DB" w:rsidP="000629DB">
      <w:pPr>
        <w:ind w:firstLine="709"/>
        <w:jc w:val="both"/>
        <w:rPr>
          <w:rFonts w:ascii="Garamond" w:hAnsi="Garamond"/>
          <w:color w:val="000000" w:themeColor="text1"/>
          <w:sz w:val="28"/>
          <w:szCs w:val="28"/>
        </w:rPr>
      </w:pPr>
      <w:r w:rsidRPr="003B68A5">
        <w:rPr>
          <w:rFonts w:ascii="Garamond" w:hAnsi="Garamond"/>
          <w:color w:val="000000" w:themeColor="text1"/>
          <w:sz w:val="28"/>
          <w:szCs w:val="28"/>
        </w:rPr>
        <w:t xml:space="preserve">La Consulta ha dichiarato l'illegittimità costituzionale dell'articolo 140 cod. </w:t>
      </w:r>
      <w:proofErr w:type="spellStart"/>
      <w:r w:rsidRPr="003B68A5">
        <w:rPr>
          <w:rFonts w:ascii="Garamond" w:hAnsi="Garamond"/>
          <w:color w:val="000000" w:themeColor="text1"/>
          <w:sz w:val="28"/>
          <w:szCs w:val="28"/>
        </w:rPr>
        <w:t>proc</w:t>
      </w:r>
      <w:proofErr w:type="spellEnd"/>
      <w:r w:rsidRPr="003B68A5">
        <w:rPr>
          <w:rFonts w:ascii="Garamond" w:hAnsi="Garamond"/>
          <w:color w:val="000000" w:themeColor="text1"/>
          <w:sz w:val="28"/>
          <w:szCs w:val="28"/>
        </w:rPr>
        <w:t>. civ., e stabilito che la notifica si perfeziona per il destinatario con il ricevimento della raccomandata informativa  o, comunque, decorsi dieci giorni dalla relativa spedizione.</w:t>
      </w:r>
    </w:p>
    <w:p w:rsidR="001F4077" w:rsidRPr="001F4077" w:rsidRDefault="00044559" w:rsidP="001F4077">
      <w:pPr>
        <w:ind w:firstLine="709"/>
        <w:jc w:val="both"/>
        <w:rPr>
          <w:rFonts w:ascii="Garamond" w:hAnsi="Garamond"/>
          <w:color w:val="000000" w:themeColor="text1"/>
          <w:sz w:val="28"/>
          <w:szCs w:val="28"/>
        </w:rPr>
      </w:pPr>
      <w:r w:rsidRPr="001F4077">
        <w:rPr>
          <w:rFonts w:ascii="Garamond" w:hAnsi="Garamond"/>
          <w:b/>
          <w:color w:val="000000" w:themeColor="text1"/>
          <w:sz w:val="28"/>
          <w:szCs w:val="28"/>
        </w:rPr>
        <w:t>IL MIO PARERE.</w:t>
      </w:r>
      <w:r w:rsidR="00296FE6" w:rsidRPr="001F4077">
        <w:rPr>
          <w:rFonts w:ascii="Garamond" w:hAnsi="Garamond"/>
          <w:color w:val="000000" w:themeColor="text1"/>
          <w:sz w:val="28"/>
          <w:szCs w:val="28"/>
        </w:rPr>
        <w:t xml:space="preserve"> </w:t>
      </w:r>
      <w:r w:rsidR="005E0A08" w:rsidRPr="001F4077">
        <w:rPr>
          <w:rFonts w:ascii="Garamond" w:hAnsi="Garamond"/>
          <w:color w:val="000000" w:themeColor="text1"/>
          <w:sz w:val="28"/>
          <w:szCs w:val="28"/>
        </w:rPr>
        <w:t>La mia opinione, quando</w:t>
      </w:r>
      <w:r w:rsidR="00296FE6" w:rsidRPr="001F4077">
        <w:rPr>
          <w:rFonts w:ascii="Garamond" w:hAnsi="Garamond"/>
          <w:color w:val="000000" w:themeColor="text1"/>
          <w:sz w:val="28"/>
          <w:szCs w:val="28"/>
        </w:rPr>
        <w:t xml:space="preserve"> a seguito di precetto notificato ai sensi dell’art. 140 c.p.c. – </w:t>
      </w:r>
      <w:r w:rsidR="00296FE6" w:rsidRPr="001F4077">
        <w:rPr>
          <w:rFonts w:ascii="Garamond" w:hAnsi="Garamond"/>
          <w:i/>
          <w:color w:val="000000" w:themeColor="text1"/>
          <w:sz w:val="28"/>
          <w:szCs w:val="28"/>
        </w:rPr>
        <w:t>e l’avviso delle poste riporta l’attestazione irreperibile/sconosciuto</w:t>
      </w:r>
      <w:r w:rsidR="00296FE6" w:rsidRPr="001F4077">
        <w:rPr>
          <w:rFonts w:ascii="Garamond" w:hAnsi="Garamond"/>
          <w:color w:val="000000" w:themeColor="text1"/>
          <w:sz w:val="28"/>
          <w:szCs w:val="28"/>
        </w:rPr>
        <w:t xml:space="preserve"> - </w:t>
      </w:r>
      <w:r w:rsidR="005E0A08" w:rsidRPr="001F4077">
        <w:rPr>
          <w:rFonts w:ascii="Garamond" w:hAnsi="Garamond"/>
          <w:color w:val="000000" w:themeColor="text1"/>
          <w:sz w:val="28"/>
          <w:szCs w:val="28"/>
        </w:rPr>
        <w:t xml:space="preserve"> </w:t>
      </w:r>
      <w:r w:rsidR="00296FE6" w:rsidRPr="001F4077">
        <w:rPr>
          <w:rFonts w:ascii="Garamond" w:hAnsi="Garamond"/>
          <w:color w:val="000000" w:themeColor="text1"/>
          <w:sz w:val="28"/>
          <w:szCs w:val="28"/>
        </w:rPr>
        <w:t xml:space="preserve">e </w:t>
      </w:r>
      <w:r w:rsidR="005E0A08" w:rsidRPr="001F4077">
        <w:rPr>
          <w:rFonts w:ascii="Garamond" w:hAnsi="Garamond"/>
          <w:color w:val="000000" w:themeColor="text1"/>
          <w:sz w:val="28"/>
          <w:szCs w:val="28"/>
        </w:rPr>
        <w:t xml:space="preserve">vi è certezza che il destinatario abiti all’indirizzo indicato, </w:t>
      </w:r>
      <w:r w:rsidR="004E63B5" w:rsidRPr="001F4077">
        <w:rPr>
          <w:rFonts w:ascii="Garamond" w:hAnsi="Garamond"/>
          <w:color w:val="000000" w:themeColor="text1"/>
          <w:sz w:val="28"/>
          <w:szCs w:val="28"/>
        </w:rPr>
        <w:t>l</w:t>
      </w:r>
      <w:r w:rsidR="00296FE6" w:rsidRPr="001F4077">
        <w:rPr>
          <w:rFonts w:ascii="Garamond" w:hAnsi="Garamond"/>
          <w:color w:val="000000" w:themeColor="text1"/>
          <w:sz w:val="28"/>
          <w:szCs w:val="28"/>
        </w:rPr>
        <w:t>’Ufficiale Giudiziario è tenuto a</w:t>
      </w:r>
      <w:r w:rsidR="00255D4C" w:rsidRPr="001F4077">
        <w:rPr>
          <w:rFonts w:ascii="Garamond" w:hAnsi="Garamond"/>
          <w:color w:val="000000" w:themeColor="text1"/>
          <w:sz w:val="28"/>
          <w:szCs w:val="28"/>
        </w:rPr>
        <w:t>d</w:t>
      </w:r>
      <w:r w:rsidR="00296FE6" w:rsidRPr="001F4077">
        <w:rPr>
          <w:rFonts w:ascii="Garamond" w:hAnsi="Garamond"/>
          <w:color w:val="000000" w:themeColor="text1"/>
          <w:sz w:val="28"/>
          <w:szCs w:val="28"/>
        </w:rPr>
        <w:t xml:space="preserve"> eseguire la richiesta di pignoramento/sfratto anche se vi è la possibilità che la notifica del precetto possa essere </w:t>
      </w:r>
      <w:r w:rsidR="00F303BD">
        <w:rPr>
          <w:rFonts w:ascii="Garamond" w:hAnsi="Garamond"/>
          <w:color w:val="000000" w:themeColor="text1"/>
          <w:sz w:val="28"/>
          <w:szCs w:val="28"/>
        </w:rPr>
        <w:t>di</w:t>
      </w:r>
      <w:r w:rsidR="00296FE6" w:rsidRPr="001F4077">
        <w:rPr>
          <w:rFonts w:ascii="Garamond" w:hAnsi="Garamond"/>
          <w:color w:val="000000" w:themeColor="text1"/>
          <w:sz w:val="28"/>
          <w:szCs w:val="28"/>
        </w:rPr>
        <w:t>chiarata nulla.</w:t>
      </w:r>
      <w:r w:rsidR="001F4077" w:rsidRPr="001F4077">
        <w:rPr>
          <w:rFonts w:ascii="Garamond" w:hAnsi="Garamond"/>
          <w:color w:val="000000" w:themeColor="text1"/>
          <w:sz w:val="28"/>
          <w:szCs w:val="28"/>
        </w:rPr>
        <w:t xml:space="preserve"> Inoltre n</w:t>
      </w:r>
      <w:r w:rsidR="001F4077" w:rsidRPr="001F4077">
        <w:rPr>
          <w:rFonts w:ascii="Garamond" w:hAnsi="Garamond"/>
          <w:color w:val="000000" w:themeColor="text1"/>
          <w:sz w:val="28"/>
          <w:szCs w:val="28"/>
        </w:rPr>
        <w:t xml:space="preserve">on si può non evidenziare che la cosiddetta </w:t>
      </w:r>
      <w:r w:rsidR="001F4077" w:rsidRPr="001F4077">
        <w:rPr>
          <w:rFonts w:ascii="Garamond" w:hAnsi="Garamond"/>
          <w:i/>
          <w:color w:val="000000" w:themeColor="text1"/>
          <w:sz w:val="28"/>
          <w:szCs w:val="28"/>
        </w:rPr>
        <w:t>"presunzione di conoscenza</w:t>
      </w:r>
      <w:r w:rsidR="001F4077" w:rsidRPr="001F4077">
        <w:rPr>
          <w:rFonts w:ascii="Garamond" w:hAnsi="Garamond"/>
          <w:color w:val="000000" w:themeColor="text1"/>
          <w:sz w:val="28"/>
          <w:szCs w:val="28"/>
        </w:rPr>
        <w:t xml:space="preserve">", si potrebbe realizzare ancor prima del perfezionamento della notifica. Infatti nell'avviso che l'Ufficiale Giudiziario affigge sulla porta (in busta chiusa) già mette in condizione il destinatario di conoscere il contenuto dell'atto, non solo dalle informazioni indicate nell'avviso stesso, ma ha anche la possibilità di ritirare l'atto presso la casa comunale indipendentemente dal ritiro o meno della raccomandata informativa. Tutto questo a mio parere fa risaltare una </w:t>
      </w:r>
      <w:r w:rsidR="001F4077" w:rsidRPr="001F4077">
        <w:rPr>
          <w:rFonts w:ascii="Garamond" w:hAnsi="Garamond" w:cs="Arial"/>
          <w:color w:val="000000" w:themeColor="text1"/>
          <w:sz w:val="28"/>
          <w:szCs w:val="28"/>
        </w:rPr>
        <w:t>ingiustificata disparità di trattamento perché consente al notificando</w:t>
      </w:r>
      <w:r w:rsidR="001F4077" w:rsidRPr="001F4077">
        <w:rPr>
          <w:rFonts w:ascii="Garamond" w:hAnsi="Garamond"/>
          <w:color w:val="000000" w:themeColor="text1"/>
          <w:sz w:val="28"/>
          <w:szCs w:val="28"/>
        </w:rPr>
        <w:t xml:space="preserve"> di prolungare gli effetti legali della notifica</w:t>
      </w:r>
      <w:r w:rsidR="001F4077" w:rsidRPr="001F4077">
        <w:rPr>
          <w:rFonts w:ascii="Garamond" w:hAnsi="Garamond" w:cs="Arial"/>
          <w:color w:val="000000" w:themeColor="text1"/>
          <w:sz w:val="28"/>
          <w:szCs w:val="28"/>
        </w:rPr>
        <w:t>.</w:t>
      </w:r>
    </w:p>
    <w:p w:rsidR="001F4077" w:rsidRPr="003B68A5" w:rsidRDefault="001F4077" w:rsidP="00C835EA">
      <w:pPr>
        <w:ind w:firstLine="709"/>
        <w:jc w:val="both"/>
        <w:rPr>
          <w:rFonts w:ascii="Garamond" w:hAnsi="Garamond"/>
          <w:sz w:val="28"/>
          <w:szCs w:val="28"/>
        </w:rPr>
      </w:pPr>
    </w:p>
    <w:p w:rsidR="00296FE6" w:rsidRPr="003B68A5" w:rsidRDefault="00296FE6" w:rsidP="00C835EA">
      <w:pPr>
        <w:ind w:firstLine="709"/>
        <w:jc w:val="both"/>
        <w:rPr>
          <w:rFonts w:ascii="Garamond" w:hAnsi="Garamond"/>
          <w:sz w:val="28"/>
          <w:szCs w:val="28"/>
        </w:rPr>
      </w:pPr>
      <w:r w:rsidRPr="003B68A5">
        <w:rPr>
          <w:rFonts w:ascii="Garamond" w:hAnsi="Garamond"/>
          <w:sz w:val="28"/>
          <w:szCs w:val="28"/>
        </w:rPr>
        <w:t xml:space="preserve">Tale </w:t>
      </w:r>
      <w:r w:rsidR="000736DA" w:rsidRPr="003B68A5">
        <w:rPr>
          <w:rFonts w:ascii="Garamond" w:hAnsi="Garamond"/>
          <w:sz w:val="28"/>
          <w:szCs w:val="28"/>
        </w:rPr>
        <w:t>interpretazione personale nasce dalle seguenti considerazioni:</w:t>
      </w:r>
    </w:p>
    <w:p w:rsidR="00AA6F94" w:rsidRPr="003B68A5" w:rsidRDefault="000736DA" w:rsidP="003B68A5">
      <w:pPr>
        <w:pStyle w:val="liscio"/>
        <w:numPr>
          <w:ilvl w:val="0"/>
          <w:numId w:val="1"/>
        </w:numPr>
        <w:shd w:val="clear" w:color="auto" w:fill="FFFFFF"/>
        <w:spacing w:before="0" w:beforeAutospacing="0" w:after="0" w:afterAutospacing="0"/>
        <w:ind w:left="0" w:firstLine="340"/>
        <w:jc w:val="both"/>
        <w:rPr>
          <w:rFonts w:ascii="Garamond" w:hAnsi="Garamond"/>
          <w:i/>
          <w:color w:val="000000" w:themeColor="text1"/>
          <w:sz w:val="28"/>
          <w:szCs w:val="28"/>
        </w:rPr>
      </w:pPr>
      <w:r w:rsidRPr="003B68A5">
        <w:rPr>
          <w:rFonts w:ascii="Garamond" w:hAnsi="Garamond"/>
          <w:b/>
          <w:color w:val="000000" w:themeColor="text1"/>
          <w:sz w:val="28"/>
          <w:szCs w:val="28"/>
        </w:rPr>
        <w:t xml:space="preserve">Tale notifica non influisce sulla validità dell'atto, </w:t>
      </w:r>
      <w:r w:rsidRPr="003B68A5">
        <w:rPr>
          <w:rFonts w:ascii="Garamond" w:hAnsi="Garamond"/>
          <w:color w:val="000000" w:themeColor="text1"/>
          <w:sz w:val="28"/>
          <w:szCs w:val="28"/>
        </w:rPr>
        <w:t xml:space="preserve">ma può determinare soltanto la nullità della notificazione </w:t>
      </w:r>
      <w:r w:rsidRPr="003B68A5">
        <w:rPr>
          <w:rFonts w:ascii="Garamond" w:hAnsi="Garamond"/>
          <w:b/>
          <w:color w:val="000000" w:themeColor="text1"/>
          <w:sz w:val="28"/>
          <w:szCs w:val="28"/>
        </w:rPr>
        <w:t xml:space="preserve">(Cassazione, sentenza n. 5556/2019) in quanto </w:t>
      </w:r>
      <w:r w:rsidRPr="003B68A5">
        <w:rPr>
          <w:rFonts w:ascii="Garamond" w:hAnsi="Garamond"/>
          <w:color w:val="000000" w:themeColor="text1"/>
          <w:sz w:val="28"/>
          <w:szCs w:val="28"/>
        </w:rPr>
        <w:t xml:space="preserve"> </w:t>
      </w:r>
      <w:r w:rsidRPr="003B68A5">
        <w:rPr>
          <w:rFonts w:ascii="Garamond" w:hAnsi="Garamond"/>
          <w:b/>
          <w:color w:val="000000" w:themeColor="text1"/>
          <w:sz w:val="28"/>
          <w:szCs w:val="28"/>
        </w:rPr>
        <w:t>non è assoluta</w:t>
      </w:r>
      <w:r w:rsidR="00A8671A">
        <w:rPr>
          <w:rFonts w:ascii="Garamond" w:hAnsi="Garamond"/>
          <w:b/>
          <w:color w:val="000000" w:themeColor="text1"/>
          <w:sz w:val="28"/>
          <w:szCs w:val="28"/>
        </w:rPr>
        <w:t>,</w:t>
      </w:r>
      <w:r w:rsidRPr="003B68A5">
        <w:rPr>
          <w:rFonts w:ascii="Garamond" w:hAnsi="Garamond"/>
          <w:b/>
          <w:color w:val="000000" w:themeColor="text1"/>
          <w:sz w:val="28"/>
          <w:szCs w:val="28"/>
        </w:rPr>
        <w:t xml:space="preserve"> ma relativa</w:t>
      </w:r>
      <w:r w:rsidRPr="003B68A5">
        <w:rPr>
          <w:rFonts w:ascii="Garamond" w:hAnsi="Garamond"/>
          <w:color w:val="000000" w:themeColor="text1"/>
          <w:sz w:val="28"/>
          <w:szCs w:val="28"/>
        </w:rPr>
        <w:t xml:space="preserve"> e quindi può essere dichiarata solo ad istanza di parte e non d'ufficio, salvo la rinnovazione prevista dall'articolo 291 c.p.c. </w:t>
      </w:r>
      <w:r w:rsidRPr="003B68A5">
        <w:rPr>
          <w:rFonts w:ascii="Garamond" w:hAnsi="Garamond" w:cstheme="minorHAnsi"/>
          <w:color w:val="000000" w:themeColor="text1"/>
          <w:sz w:val="28"/>
          <w:szCs w:val="28"/>
          <w:shd w:val="clear" w:color="auto" w:fill="FFFFFF"/>
        </w:rPr>
        <w:t>La disciplina della rilevabilità è espressamente contenuta all’art. 157 c.p.c.: “</w:t>
      </w:r>
      <w:r w:rsidRPr="003B68A5">
        <w:rPr>
          <w:rStyle w:val="Enfasicorsivo"/>
          <w:rFonts w:ascii="Garamond" w:hAnsi="Garamond" w:cstheme="minorHAnsi"/>
          <w:color w:val="000000" w:themeColor="text1"/>
          <w:sz w:val="28"/>
          <w:szCs w:val="28"/>
          <w:shd w:val="clear" w:color="auto" w:fill="FFFFFF"/>
        </w:rPr>
        <w:t xml:space="preserve">Non può pronunciarsi la nullità senza istanza di parte, se la legge non dispone che sia pronunciata d’ufficio. </w:t>
      </w:r>
      <w:r w:rsidRPr="003B68A5">
        <w:rPr>
          <w:rStyle w:val="Enfasicorsivo"/>
          <w:rFonts w:ascii="Garamond" w:hAnsi="Garamond" w:cstheme="minorHAnsi"/>
          <w:b/>
          <w:i w:val="0"/>
          <w:color w:val="000000" w:themeColor="text1"/>
          <w:sz w:val="28"/>
          <w:szCs w:val="28"/>
          <w:shd w:val="clear" w:color="auto" w:fill="FFFFFF"/>
        </w:rPr>
        <w:t xml:space="preserve">Ed ancora:" </w:t>
      </w:r>
      <w:r w:rsidRPr="003B68A5">
        <w:rPr>
          <w:rFonts w:ascii="Garamond" w:hAnsi="Garamond"/>
          <w:b/>
          <w:i/>
          <w:iCs/>
          <w:color w:val="000000" w:themeColor="text1"/>
          <w:sz w:val="28"/>
          <w:szCs w:val="28"/>
        </w:rPr>
        <w:t>La nullità non può essere opposta dalla parte che vi ha dato causa, né da quella che vi ha rinunciato anche tacitamente.</w:t>
      </w:r>
      <w:r w:rsidRPr="003B68A5">
        <w:rPr>
          <w:rFonts w:ascii="Garamond" w:hAnsi="Garamond"/>
          <w:b/>
          <w:color w:val="000000" w:themeColor="text1"/>
          <w:sz w:val="28"/>
          <w:szCs w:val="28"/>
        </w:rPr>
        <w:t>”</w:t>
      </w:r>
    </w:p>
    <w:p w:rsidR="003B68A5" w:rsidRPr="003B68A5" w:rsidRDefault="00AA6F94" w:rsidP="003B68A5">
      <w:pPr>
        <w:pStyle w:val="liscio"/>
        <w:numPr>
          <w:ilvl w:val="0"/>
          <w:numId w:val="1"/>
        </w:numPr>
        <w:shd w:val="clear" w:color="auto" w:fill="FFFFFF"/>
        <w:spacing w:before="0" w:beforeAutospacing="0" w:after="0" w:afterAutospacing="0"/>
        <w:ind w:left="0" w:firstLine="340"/>
        <w:jc w:val="both"/>
        <w:rPr>
          <w:rFonts w:ascii="Garamond" w:hAnsi="Garamond"/>
          <w:sz w:val="28"/>
          <w:szCs w:val="28"/>
        </w:rPr>
      </w:pPr>
      <w:r w:rsidRPr="003B68A5">
        <w:rPr>
          <w:rFonts w:ascii="Garamond" w:hAnsi="Garamond"/>
          <w:sz w:val="28"/>
          <w:szCs w:val="28"/>
        </w:rPr>
        <w:t xml:space="preserve">In queste situazione non esiste altra forma di notifica se non quella del 140 </w:t>
      </w:r>
      <w:r w:rsidR="00C835EA">
        <w:rPr>
          <w:rFonts w:ascii="Garamond" w:hAnsi="Garamond"/>
          <w:sz w:val="28"/>
          <w:szCs w:val="28"/>
        </w:rPr>
        <w:t xml:space="preserve"> - </w:t>
      </w:r>
      <w:r w:rsidR="00C835EA" w:rsidRPr="00C835EA">
        <w:rPr>
          <w:rFonts w:ascii="Garamond" w:hAnsi="Garamond"/>
          <w:i/>
          <w:sz w:val="28"/>
          <w:szCs w:val="28"/>
        </w:rPr>
        <w:t xml:space="preserve">con il </w:t>
      </w:r>
      <w:r w:rsidR="00814EC8">
        <w:rPr>
          <w:rFonts w:ascii="Garamond" w:hAnsi="Garamond"/>
          <w:i/>
          <w:sz w:val="28"/>
          <w:szCs w:val="28"/>
        </w:rPr>
        <w:t>rischi</w:t>
      </w:r>
      <w:r w:rsidR="00A8671A">
        <w:rPr>
          <w:rFonts w:ascii="Garamond" w:hAnsi="Garamond"/>
          <w:i/>
          <w:sz w:val="28"/>
          <w:szCs w:val="28"/>
        </w:rPr>
        <w:t>o</w:t>
      </w:r>
      <w:r w:rsidR="00814EC8">
        <w:rPr>
          <w:rFonts w:ascii="Garamond" w:hAnsi="Garamond"/>
          <w:i/>
          <w:sz w:val="28"/>
          <w:szCs w:val="28"/>
        </w:rPr>
        <w:t xml:space="preserve"> del </w:t>
      </w:r>
      <w:r w:rsidR="00C835EA" w:rsidRPr="00C835EA">
        <w:rPr>
          <w:rFonts w:ascii="Garamond" w:hAnsi="Garamond"/>
          <w:i/>
          <w:sz w:val="28"/>
          <w:szCs w:val="28"/>
        </w:rPr>
        <w:t xml:space="preserve">ripetersi dell’anomalia </w:t>
      </w:r>
      <w:r w:rsidR="00C835EA">
        <w:rPr>
          <w:rFonts w:ascii="Garamond" w:hAnsi="Garamond"/>
          <w:sz w:val="28"/>
          <w:szCs w:val="28"/>
        </w:rPr>
        <w:t xml:space="preserve">- </w:t>
      </w:r>
      <w:r w:rsidRPr="003B68A5">
        <w:rPr>
          <w:rFonts w:ascii="Garamond" w:hAnsi="Garamond"/>
          <w:sz w:val="28"/>
          <w:szCs w:val="28"/>
        </w:rPr>
        <w:t xml:space="preserve">e ancor meno quella prevista dall’art. 143 c.p.c. </w:t>
      </w:r>
      <w:r w:rsidR="00653C05" w:rsidRPr="003B68A5">
        <w:rPr>
          <w:rFonts w:ascii="Garamond" w:hAnsi="Garamond"/>
          <w:color w:val="000000" w:themeColor="text1"/>
          <w:sz w:val="28"/>
          <w:szCs w:val="28"/>
        </w:rPr>
        <w:t xml:space="preserve">anche perché dalla relazione di notifica redatta dall'Ufficiale Giudiziario risulta evidente che l'atto non è stato consegnato al destinatario </w:t>
      </w:r>
      <w:r w:rsidR="00653C05" w:rsidRPr="00C835EA">
        <w:rPr>
          <w:rFonts w:ascii="Garamond" w:hAnsi="Garamond"/>
          <w:b/>
          <w:color w:val="000000" w:themeColor="text1"/>
          <w:sz w:val="28"/>
          <w:szCs w:val="28"/>
        </w:rPr>
        <w:t>per difficoltà di ordine materiale</w:t>
      </w:r>
      <w:r w:rsidR="00653C05" w:rsidRPr="003B68A5">
        <w:rPr>
          <w:rFonts w:ascii="Garamond" w:hAnsi="Garamond"/>
          <w:color w:val="000000" w:themeColor="text1"/>
          <w:sz w:val="28"/>
          <w:szCs w:val="28"/>
        </w:rPr>
        <w:t xml:space="preserve"> e cioè per una sua irreperibilità c.d. relativa, attestazione che fa fede fino a querela di falso. </w:t>
      </w:r>
      <w:r w:rsidRPr="003B68A5">
        <w:rPr>
          <w:rFonts w:ascii="Garamond" w:hAnsi="Garamond"/>
          <w:color w:val="000000" w:themeColor="text1"/>
          <w:sz w:val="28"/>
          <w:szCs w:val="28"/>
        </w:rPr>
        <w:t xml:space="preserve">La stessa Cassazione - Ordinanza 8638/2017 - ha statuito che </w:t>
      </w:r>
      <w:r w:rsidRPr="003B68A5">
        <w:rPr>
          <w:rFonts w:ascii="Garamond" w:hAnsi="Garamond"/>
          <w:i/>
          <w:color w:val="000000" w:themeColor="text1"/>
          <w:sz w:val="28"/>
          <w:szCs w:val="28"/>
        </w:rPr>
        <w:t>la nullità di una notificazione ex articolo 143 impone al giudice di disporne il rinnovo ai sensi dell’art. 291 c.p.c., quando è stata eseguita ex art. 143 c.p.c. sulla base dell’assenza del nominativo della destinataria sul citofono dell’indirizzo di residenza anagrafica.</w:t>
      </w:r>
      <w:r w:rsidR="00653C05" w:rsidRPr="003B68A5">
        <w:rPr>
          <w:rFonts w:ascii="Garamond" w:hAnsi="Garamond"/>
          <w:i/>
          <w:color w:val="000000" w:themeColor="text1"/>
          <w:sz w:val="28"/>
          <w:szCs w:val="28"/>
        </w:rPr>
        <w:t xml:space="preserve"> </w:t>
      </w:r>
      <w:r w:rsidRPr="003B68A5">
        <w:rPr>
          <w:rFonts w:ascii="Garamond" w:hAnsi="Garamond"/>
          <w:color w:val="000000" w:themeColor="text1"/>
          <w:sz w:val="28"/>
          <w:szCs w:val="28"/>
        </w:rPr>
        <w:t xml:space="preserve"> </w:t>
      </w:r>
    </w:p>
    <w:p w:rsidR="003B68A5" w:rsidRPr="003B68A5" w:rsidRDefault="003B68A5" w:rsidP="003B68A5">
      <w:pPr>
        <w:pStyle w:val="liscio"/>
        <w:shd w:val="clear" w:color="auto" w:fill="FFFFFF"/>
        <w:spacing w:before="0" w:beforeAutospacing="0" w:after="0" w:afterAutospacing="0"/>
        <w:jc w:val="both"/>
        <w:rPr>
          <w:rFonts w:ascii="Garamond" w:hAnsi="Garamond"/>
          <w:sz w:val="28"/>
          <w:szCs w:val="28"/>
        </w:rPr>
      </w:pPr>
    </w:p>
    <w:p w:rsidR="00653C05" w:rsidRPr="003B68A5" w:rsidRDefault="00653C05" w:rsidP="003B68A5">
      <w:pPr>
        <w:pStyle w:val="liscio"/>
        <w:shd w:val="clear" w:color="auto" w:fill="FFFFFF"/>
        <w:spacing w:before="0" w:beforeAutospacing="0" w:after="0" w:afterAutospacing="0"/>
        <w:jc w:val="both"/>
        <w:rPr>
          <w:rFonts w:ascii="Garamond" w:hAnsi="Garamond"/>
          <w:sz w:val="28"/>
          <w:szCs w:val="28"/>
        </w:rPr>
      </w:pPr>
      <w:r w:rsidRPr="003B68A5">
        <w:rPr>
          <w:rFonts w:ascii="Garamond" w:hAnsi="Garamond"/>
          <w:sz w:val="28"/>
          <w:szCs w:val="28"/>
        </w:rPr>
        <w:t>Da un parere espresso dall’ufficio Legislativo del Ministero della Giustizia</w:t>
      </w:r>
      <w:r w:rsidR="0006437E">
        <w:rPr>
          <w:rFonts w:ascii="Garamond" w:hAnsi="Garamond"/>
          <w:sz w:val="28"/>
          <w:szCs w:val="28"/>
        </w:rPr>
        <w:t xml:space="preserve"> </w:t>
      </w:r>
      <w:r w:rsidR="00A8671A">
        <w:rPr>
          <w:rFonts w:ascii="Garamond" w:hAnsi="Garamond"/>
          <w:sz w:val="28"/>
          <w:szCs w:val="28"/>
        </w:rPr>
        <w:t>è stato evidenziato che</w:t>
      </w:r>
    </w:p>
    <w:p w:rsidR="003B68A5" w:rsidRDefault="00653C05" w:rsidP="003B68A5">
      <w:pPr>
        <w:pStyle w:val="NormaleWeb"/>
        <w:numPr>
          <w:ilvl w:val="0"/>
          <w:numId w:val="1"/>
        </w:numPr>
        <w:spacing w:before="0" w:beforeAutospacing="0" w:after="0" w:afterAutospacing="0"/>
        <w:ind w:left="0" w:firstLine="357"/>
        <w:jc w:val="both"/>
        <w:rPr>
          <w:rFonts w:ascii="Garamond" w:hAnsi="Garamond" w:cs="Times"/>
          <w:color w:val="000000" w:themeColor="text1"/>
          <w:sz w:val="28"/>
          <w:szCs w:val="28"/>
        </w:rPr>
      </w:pPr>
      <w:r w:rsidRPr="003B68A5">
        <w:rPr>
          <w:rFonts w:ascii="Garamond" w:hAnsi="Garamond" w:cs="Times"/>
          <w:color w:val="000000" w:themeColor="text1"/>
          <w:sz w:val="28"/>
          <w:szCs w:val="28"/>
        </w:rPr>
        <w:t xml:space="preserve">Il legislatore ha valorizzato la professionalità e l'autonomia dell'ufficiale giudiziario, ma ha posto, a salvaguardia dell'interesse delle parti che a lui si rivolgono, il divieto, da parte dello stesso, di ricusare il proprio ministero senza giusti motivi, oltre che di motivare per iscritto l'eventuale rifiuto: articolo 60, n. 1) c.p.c. ed articolo 108 del </w:t>
      </w:r>
      <w:proofErr w:type="spellStart"/>
      <w:r w:rsidRPr="003B68A5">
        <w:rPr>
          <w:rFonts w:ascii="Garamond" w:hAnsi="Garamond" w:cs="Times"/>
          <w:color w:val="000000" w:themeColor="text1"/>
          <w:sz w:val="28"/>
          <w:szCs w:val="28"/>
        </w:rPr>
        <w:t>d.P.R</w:t>
      </w:r>
      <w:proofErr w:type="spellEnd"/>
      <w:r w:rsidRPr="003B68A5">
        <w:rPr>
          <w:rFonts w:ascii="Garamond" w:hAnsi="Garamond" w:cs="Times"/>
          <w:color w:val="000000" w:themeColor="text1"/>
          <w:sz w:val="28"/>
          <w:szCs w:val="28"/>
        </w:rPr>
        <w:t xml:space="preserve"> 15 dicembre 1959, n. 1229. </w:t>
      </w:r>
    </w:p>
    <w:p w:rsidR="00FA1FE0" w:rsidRDefault="00FA1FE0" w:rsidP="00FA1FE0">
      <w:pPr>
        <w:pStyle w:val="NormaleWeb"/>
        <w:spacing w:before="0" w:beforeAutospacing="0" w:after="0" w:afterAutospacing="0"/>
        <w:jc w:val="both"/>
        <w:rPr>
          <w:rFonts w:ascii="Garamond" w:hAnsi="Garamond" w:cs="Times"/>
          <w:color w:val="000000" w:themeColor="text1"/>
          <w:sz w:val="28"/>
          <w:szCs w:val="28"/>
        </w:rPr>
      </w:pPr>
    </w:p>
    <w:p w:rsidR="00FA1FE0" w:rsidRPr="003B68A5" w:rsidRDefault="00FA1FE0" w:rsidP="00FA1FE0">
      <w:pPr>
        <w:ind w:firstLine="709"/>
        <w:jc w:val="both"/>
        <w:rPr>
          <w:rFonts w:ascii="Garamond" w:hAnsi="Garamond"/>
          <w:sz w:val="28"/>
          <w:szCs w:val="28"/>
        </w:rPr>
      </w:pPr>
      <w:r>
        <w:rPr>
          <w:rFonts w:ascii="Garamond" w:hAnsi="Garamond" w:cs="Times"/>
          <w:color w:val="000000" w:themeColor="text1"/>
          <w:sz w:val="28"/>
          <w:szCs w:val="28"/>
        </w:rPr>
        <w:t xml:space="preserve">Gentile Presidente, </w:t>
      </w:r>
      <w:r>
        <w:rPr>
          <w:rFonts w:ascii="Garamond" w:hAnsi="Garamond"/>
          <w:sz w:val="28"/>
          <w:szCs w:val="28"/>
        </w:rPr>
        <w:t>l</w:t>
      </w:r>
      <w:r w:rsidRPr="003B68A5">
        <w:rPr>
          <w:rFonts w:ascii="Garamond" w:hAnsi="Garamond"/>
          <w:sz w:val="28"/>
          <w:szCs w:val="28"/>
        </w:rPr>
        <w:t>o scopo di tale richiesta è di tranquillizzare i miei colleghi sulla responsabilità che si possono assumere nell’eseguire un atto in cui la notificazione possa essere dichiarata nulla</w:t>
      </w:r>
      <w:r>
        <w:rPr>
          <w:rFonts w:ascii="Garamond" w:hAnsi="Garamond"/>
          <w:sz w:val="28"/>
          <w:szCs w:val="28"/>
        </w:rPr>
        <w:t>.</w:t>
      </w:r>
    </w:p>
    <w:p w:rsidR="00653C05" w:rsidRDefault="00653C05" w:rsidP="00A8671A">
      <w:pPr>
        <w:pStyle w:val="NormaleWeb"/>
        <w:spacing w:before="0" w:beforeAutospacing="0" w:after="0" w:afterAutospacing="0"/>
        <w:jc w:val="both"/>
        <w:rPr>
          <w:rFonts w:ascii="Garamond" w:hAnsi="Garamond" w:cs="Times"/>
          <w:color w:val="000000" w:themeColor="text1"/>
          <w:sz w:val="28"/>
          <w:szCs w:val="28"/>
        </w:rPr>
      </w:pPr>
    </w:p>
    <w:p w:rsidR="00255D4C" w:rsidRDefault="00255D4C" w:rsidP="00255D4C">
      <w:pPr>
        <w:pStyle w:val="NormaleWeb"/>
        <w:spacing w:before="0" w:beforeAutospacing="0" w:after="0" w:afterAutospacing="0"/>
        <w:ind w:left="720"/>
        <w:jc w:val="right"/>
        <w:rPr>
          <w:rFonts w:ascii="Garamond" w:hAnsi="Garamond" w:cs="Times"/>
          <w:color w:val="000000" w:themeColor="text1"/>
          <w:sz w:val="28"/>
          <w:szCs w:val="28"/>
        </w:rPr>
      </w:pPr>
      <w:r>
        <w:rPr>
          <w:rFonts w:ascii="Garamond" w:hAnsi="Garamond" w:cs="Times"/>
          <w:color w:val="000000" w:themeColor="text1"/>
          <w:sz w:val="28"/>
          <w:szCs w:val="28"/>
        </w:rPr>
        <w:t>L’Ufficiale Giudiziario Dirigente</w:t>
      </w:r>
    </w:p>
    <w:p w:rsidR="00255D4C" w:rsidRPr="003B68A5" w:rsidRDefault="00255D4C" w:rsidP="00255D4C">
      <w:pPr>
        <w:pStyle w:val="NormaleWeb"/>
        <w:spacing w:before="0" w:beforeAutospacing="0" w:after="0" w:afterAutospacing="0"/>
        <w:ind w:left="720"/>
        <w:jc w:val="right"/>
        <w:rPr>
          <w:rFonts w:ascii="Garamond" w:hAnsi="Garamond" w:cs="Times"/>
          <w:color w:val="000000" w:themeColor="text1"/>
          <w:sz w:val="28"/>
          <w:szCs w:val="28"/>
        </w:rPr>
      </w:pPr>
      <w:r>
        <w:rPr>
          <w:rFonts w:ascii="Garamond" w:hAnsi="Garamond" w:cs="Times"/>
          <w:color w:val="000000" w:themeColor="text1"/>
          <w:sz w:val="28"/>
          <w:szCs w:val="28"/>
        </w:rPr>
        <w:t>Arcangelo D’Aurora</w:t>
      </w:r>
    </w:p>
    <w:p w:rsidR="00255D4C" w:rsidRDefault="00255D4C" w:rsidP="00255D4C">
      <w:pPr>
        <w:pStyle w:val="NormaleWeb"/>
        <w:spacing w:before="0" w:beforeAutospacing="0" w:after="0" w:afterAutospacing="0"/>
        <w:jc w:val="both"/>
        <w:rPr>
          <w:rFonts w:ascii="Garamond" w:hAnsi="Garamond" w:cs="Times"/>
          <w:color w:val="000000" w:themeColor="text1"/>
          <w:sz w:val="28"/>
          <w:szCs w:val="28"/>
        </w:rPr>
      </w:pPr>
    </w:p>
    <w:p w:rsidR="00FA1FE0" w:rsidRDefault="00FA1FE0" w:rsidP="00255D4C">
      <w:pPr>
        <w:pStyle w:val="NormaleWeb"/>
        <w:spacing w:before="0" w:beforeAutospacing="0" w:after="0" w:afterAutospacing="0"/>
        <w:jc w:val="both"/>
        <w:rPr>
          <w:rFonts w:ascii="Garamond" w:hAnsi="Garamond" w:cs="Times"/>
          <w:b/>
          <w:color w:val="000000" w:themeColor="text1"/>
          <w:sz w:val="28"/>
          <w:szCs w:val="28"/>
        </w:rPr>
      </w:pPr>
      <w:r>
        <w:rPr>
          <w:rFonts w:ascii="Garamond" w:hAnsi="Garamond" w:cs="Times"/>
          <w:b/>
          <w:color w:val="000000" w:themeColor="text1"/>
          <w:sz w:val="28"/>
          <w:szCs w:val="28"/>
        </w:rPr>
        <w:br w:type="page"/>
      </w:r>
    </w:p>
    <w:p w:rsidR="00E85B14" w:rsidRPr="00E85B14" w:rsidRDefault="00E85B14" w:rsidP="00E85B14">
      <w:pPr>
        <w:pStyle w:val="NormaleWeb"/>
        <w:spacing w:before="0" w:beforeAutospacing="0" w:after="0" w:afterAutospacing="0" w:line="360" w:lineRule="auto"/>
        <w:ind w:firstLine="709"/>
        <w:jc w:val="center"/>
        <w:rPr>
          <w:rFonts w:ascii="Century" w:hAnsi="Century" w:cs="Times"/>
          <w:b/>
          <w:color w:val="000000" w:themeColor="text1"/>
        </w:rPr>
      </w:pPr>
      <w:r w:rsidRPr="00E85B14">
        <w:rPr>
          <w:rFonts w:ascii="Century" w:hAnsi="Century" w:cs="Times"/>
          <w:b/>
          <w:color w:val="000000" w:themeColor="text1"/>
        </w:rPr>
        <w:lastRenderedPageBreak/>
        <w:t>TRIBUNALE DI FORLÌ</w:t>
      </w:r>
    </w:p>
    <w:p w:rsidR="00E85B14" w:rsidRPr="00E85B14" w:rsidRDefault="00E85B14" w:rsidP="00E85B14">
      <w:pPr>
        <w:pStyle w:val="NormaleWeb"/>
        <w:spacing w:before="0" w:beforeAutospacing="0" w:after="0" w:afterAutospacing="0" w:line="360" w:lineRule="auto"/>
        <w:ind w:firstLine="709"/>
        <w:jc w:val="right"/>
        <w:rPr>
          <w:rFonts w:ascii="Century" w:hAnsi="Century" w:cs="Times"/>
          <w:b/>
          <w:color w:val="000000" w:themeColor="text1"/>
        </w:rPr>
      </w:pPr>
      <w:r w:rsidRPr="00E85B14">
        <w:rPr>
          <w:rFonts w:ascii="Century" w:hAnsi="Century" w:cs="Times"/>
          <w:b/>
          <w:color w:val="000000" w:themeColor="text1"/>
        </w:rPr>
        <w:t>All’U.N.E.P. - sede</w:t>
      </w:r>
    </w:p>
    <w:p w:rsidR="00255D4C" w:rsidRPr="00E85B14" w:rsidRDefault="00FA1FE0" w:rsidP="00FA1FE0">
      <w:pPr>
        <w:pStyle w:val="NormaleWeb"/>
        <w:spacing w:before="0" w:beforeAutospacing="0" w:after="0" w:afterAutospacing="0" w:line="360" w:lineRule="auto"/>
        <w:ind w:firstLine="709"/>
        <w:jc w:val="both"/>
        <w:rPr>
          <w:rFonts w:ascii="Century" w:hAnsi="Century" w:cs="Times"/>
          <w:b/>
          <w:color w:val="000000" w:themeColor="text1"/>
        </w:rPr>
      </w:pPr>
      <w:r w:rsidRPr="00E85B14">
        <w:rPr>
          <w:rFonts w:ascii="Century" w:hAnsi="Century" w:cs="Times"/>
          <w:b/>
          <w:color w:val="000000" w:themeColor="text1"/>
        </w:rPr>
        <w:t>IL PRESIDENTE DEL TRIBUNALE DI FORLÌ,</w:t>
      </w:r>
    </w:p>
    <w:p w:rsidR="00537019" w:rsidRPr="00E85B14" w:rsidRDefault="00537019" w:rsidP="00FA1FE0">
      <w:pPr>
        <w:pStyle w:val="NormaleWeb"/>
        <w:spacing w:before="120" w:beforeAutospacing="0" w:after="120" w:afterAutospacing="0" w:line="360" w:lineRule="auto"/>
        <w:ind w:firstLine="709"/>
        <w:jc w:val="both"/>
        <w:rPr>
          <w:rFonts w:ascii="Century" w:hAnsi="Century" w:cs="Times"/>
          <w:color w:val="000000" w:themeColor="text1"/>
        </w:rPr>
      </w:pPr>
      <w:r w:rsidRPr="00E85B14">
        <w:rPr>
          <w:rFonts w:ascii="Century" w:hAnsi="Century" w:cs="Times"/>
          <w:color w:val="000000" w:themeColor="text1"/>
        </w:rPr>
        <w:t>Visto la su estesa richiesta, esprime il seguente parere.</w:t>
      </w:r>
    </w:p>
    <w:p w:rsidR="00AE5034" w:rsidRPr="00E85B14" w:rsidRDefault="00537019" w:rsidP="00FA1FE0">
      <w:pPr>
        <w:pStyle w:val="NormaleWeb"/>
        <w:spacing w:before="120" w:beforeAutospacing="0" w:after="120" w:afterAutospacing="0" w:line="360" w:lineRule="auto"/>
        <w:ind w:firstLine="709"/>
        <w:jc w:val="both"/>
        <w:rPr>
          <w:rFonts w:ascii="Century" w:hAnsi="Century" w:cs="Times"/>
          <w:color w:val="000000" w:themeColor="text1"/>
        </w:rPr>
      </w:pPr>
      <w:r w:rsidRPr="00E85B14">
        <w:rPr>
          <w:rFonts w:ascii="Century" w:hAnsi="Century" w:cs="Times"/>
          <w:color w:val="000000" w:themeColor="text1"/>
        </w:rPr>
        <w:t xml:space="preserve"> Nei casi in cui la parte istante fa richiesta di pignoramento o rilascio/sfratto sulla base di un precetto notificato ai sensi dell’art. 140 c.p.c. e dalla relata di notifica risultano effettuate regolarmente tutte le tre formalità previste dall’art. </w:t>
      </w:r>
      <w:r w:rsidR="005777BD" w:rsidRPr="00E85B14">
        <w:rPr>
          <w:rFonts w:ascii="Century" w:hAnsi="Century" w:cs="Times"/>
          <w:color w:val="000000" w:themeColor="text1"/>
        </w:rPr>
        <w:t xml:space="preserve">140 c.p.c. </w:t>
      </w:r>
      <w:r w:rsidR="00162D53" w:rsidRPr="00E85B14">
        <w:rPr>
          <w:rFonts w:ascii="Century" w:hAnsi="Century" w:cs="Times"/>
          <w:color w:val="000000" w:themeColor="text1"/>
        </w:rPr>
        <w:t xml:space="preserve">– </w:t>
      </w:r>
      <w:r w:rsidR="00162D53" w:rsidRPr="00E85B14">
        <w:rPr>
          <w:rFonts w:ascii="Century" w:hAnsi="Century" w:cs="Times"/>
          <w:i/>
          <w:color w:val="000000" w:themeColor="text1"/>
        </w:rPr>
        <w:t>deposito, affissione e spedizione della raccomandata informativa</w:t>
      </w:r>
      <w:r w:rsidR="00162D53" w:rsidRPr="00E85B14">
        <w:rPr>
          <w:rFonts w:ascii="Century" w:hAnsi="Century" w:cs="Times"/>
          <w:color w:val="000000" w:themeColor="text1"/>
        </w:rPr>
        <w:t xml:space="preserve"> – indipendentemente dall’esito del ricevimento o</w:t>
      </w:r>
      <w:r w:rsidR="007D10BC" w:rsidRPr="00E85B14">
        <w:rPr>
          <w:rFonts w:ascii="Century" w:hAnsi="Century" w:cs="Times"/>
          <w:color w:val="000000" w:themeColor="text1"/>
        </w:rPr>
        <w:t xml:space="preserve"> meno della lettera informativa </w:t>
      </w:r>
      <w:r w:rsidR="00455089">
        <w:rPr>
          <w:rFonts w:ascii="Century" w:hAnsi="Century" w:cs="Times"/>
          <w:color w:val="000000" w:themeColor="text1"/>
        </w:rPr>
        <w:t xml:space="preserve">l’Ufficiale Giudiziario </w:t>
      </w:r>
      <w:r w:rsidR="007D10BC" w:rsidRPr="00E85B14">
        <w:rPr>
          <w:rFonts w:ascii="Century" w:hAnsi="Century" w:cs="Times"/>
          <w:color w:val="000000" w:themeColor="text1"/>
        </w:rPr>
        <w:t>è tenuto a dar corso all’esecuzione</w:t>
      </w:r>
      <w:r w:rsidR="007B6846" w:rsidRPr="00E85B14">
        <w:rPr>
          <w:rFonts w:ascii="Century" w:hAnsi="Century" w:cs="Times"/>
          <w:color w:val="000000" w:themeColor="text1"/>
        </w:rPr>
        <w:t xml:space="preserve"> </w:t>
      </w:r>
      <w:r w:rsidR="007B6846" w:rsidRPr="00E85B14">
        <w:rPr>
          <w:rFonts w:ascii="Century" w:hAnsi="Century" w:cs="Times"/>
          <w:b/>
          <w:i/>
          <w:color w:val="000000" w:themeColor="text1"/>
        </w:rPr>
        <w:t>– trascorsi dieci giorni dalla data di spedizione della raccomandata informativa</w:t>
      </w:r>
      <w:r w:rsidR="007B6846" w:rsidRPr="00E85B14">
        <w:rPr>
          <w:rFonts w:ascii="Century" w:hAnsi="Century" w:cs="Times"/>
          <w:color w:val="000000" w:themeColor="text1"/>
        </w:rPr>
        <w:t xml:space="preserve"> - </w:t>
      </w:r>
      <w:r w:rsidR="007D10BC" w:rsidRPr="00E85B14">
        <w:rPr>
          <w:rFonts w:ascii="Century" w:hAnsi="Century" w:cs="Times"/>
          <w:color w:val="000000" w:themeColor="text1"/>
        </w:rPr>
        <w:t xml:space="preserve"> in quanto trattasi comunque di una notifica valida</w:t>
      </w:r>
      <w:r w:rsidR="00756622" w:rsidRPr="00E85B14">
        <w:rPr>
          <w:rFonts w:ascii="Century" w:hAnsi="Century" w:cs="Times"/>
          <w:color w:val="000000" w:themeColor="text1"/>
        </w:rPr>
        <w:t xml:space="preserve"> – </w:t>
      </w:r>
      <w:r w:rsidR="00756622" w:rsidRPr="00E85B14">
        <w:rPr>
          <w:rFonts w:ascii="Century" w:hAnsi="Century" w:cs="Times"/>
          <w:i/>
          <w:color w:val="000000" w:themeColor="text1"/>
        </w:rPr>
        <w:t xml:space="preserve">se pur </w:t>
      </w:r>
      <w:r w:rsidR="00757EB8" w:rsidRPr="00E85B14">
        <w:rPr>
          <w:rFonts w:ascii="Century" w:hAnsi="Century" w:cs="Times"/>
          <w:i/>
          <w:color w:val="000000" w:themeColor="text1"/>
        </w:rPr>
        <w:t xml:space="preserve">vi è la possibilità di una eventuale nullità della notificazione dell’atto </w:t>
      </w:r>
      <w:r w:rsidR="00757EB8" w:rsidRPr="00E85B14">
        <w:rPr>
          <w:rFonts w:ascii="Century" w:hAnsi="Century" w:cs="Times"/>
          <w:color w:val="000000" w:themeColor="text1"/>
        </w:rPr>
        <w:t xml:space="preserve">- </w:t>
      </w:r>
      <w:r w:rsidR="00930FE6" w:rsidRPr="00E85B14">
        <w:rPr>
          <w:rFonts w:ascii="Century" w:hAnsi="Century" w:cs="Times"/>
          <w:color w:val="000000" w:themeColor="text1"/>
        </w:rPr>
        <w:t>escluso il caso in cui</w:t>
      </w:r>
      <w:r w:rsidR="00AE5034" w:rsidRPr="00E85B14">
        <w:rPr>
          <w:rFonts w:ascii="Century" w:hAnsi="Century" w:cs="Times"/>
          <w:color w:val="000000" w:themeColor="text1"/>
        </w:rPr>
        <w:t xml:space="preserve"> sull’avviso di ricevimento risulta che </w:t>
      </w:r>
      <w:r w:rsidR="00930FE6" w:rsidRPr="00E85B14">
        <w:rPr>
          <w:rFonts w:ascii="Century" w:hAnsi="Century" w:cs="Times"/>
          <w:color w:val="000000" w:themeColor="text1"/>
        </w:rPr>
        <w:t xml:space="preserve">il destinatario </w:t>
      </w:r>
      <w:r w:rsidR="00AE5034" w:rsidRPr="00E85B14">
        <w:rPr>
          <w:rFonts w:ascii="Century" w:hAnsi="Century" w:cs="Times"/>
          <w:color w:val="000000" w:themeColor="text1"/>
        </w:rPr>
        <w:t xml:space="preserve">è </w:t>
      </w:r>
      <w:r w:rsidR="00930FE6" w:rsidRPr="00E85B14">
        <w:rPr>
          <w:rFonts w:ascii="Century" w:hAnsi="Century" w:cs="Times"/>
          <w:color w:val="000000" w:themeColor="text1"/>
        </w:rPr>
        <w:t>deceduto o trasferito</w:t>
      </w:r>
      <w:r w:rsidR="00AE5034" w:rsidRPr="00E85B14">
        <w:rPr>
          <w:rFonts w:ascii="Century" w:hAnsi="Century" w:cs="Times"/>
          <w:color w:val="000000" w:themeColor="text1"/>
        </w:rPr>
        <w:t>.</w:t>
      </w:r>
    </w:p>
    <w:p w:rsidR="00AE5034" w:rsidRPr="00E85B14" w:rsidRDefault="00AE5034" w:rsidP="00FA1FE0">
      <w:pPr>
        <w:pStyle w:val="NormaleWeb"/>
        <w:spacing w:before="120" w:beforeAutospacing="0" w:after="120" w:afterAutospacing="0" w:line="360" w:lineRule="auto"/>
        <w:ind w:firstLine="709"/>
        <w:jc w:val="both"/>
        <w:rPr>
          <w:rFonts w:ascii="Century" w:hAnsi="Century" w:cs="Times"/>
          <w:color w:val="000000" w:themeColor="text1"/>
        </w:rPr>
      </w:pPr>
      <w:r w:rsidRPr="00E85B14">
        <w:rPr>
          <w:rFonts w:ascii="Century" w:hAnsi="Century" w:cs="Times"/>
          <w:color w:val="000000" w:themeColor="text1"/>
        </w:rPr>
        <w:t xml:space="preserve">Si precisa che </w:t>
      </w:r>
      <w:r w:rsidR="00930FE6" w:rsidRPr="00E85B14">
        <w:rPr>
          <w:rFonts w:ascii="Century" w:hAnsi="Century" w:cs="Times"/>
          <w:color w:val="000000" w:themeColor="text1"/>
        </w:rPr>
        <w:t>nessuna norma in materia di attribuzioni e di compiti riconosce all'ufficiale giudiziario, il potere di effettuare un'autonoma e</w:t>
      </w:r>
      <w:r w:rsidR="00930FE6" w:rsidRPr="00E85B14">
        <w:rPr>
          <w:rFonts w:ascii="Century" w:hAnsi="Century" w:cs="Times"/>
          <w:b/>
          <w:color w:val="000000" w:themeColor="text1"/>
        </w:rPr>
        <w:t xml:space="preserve"> preventiva valutazione circa la nullità dell'atto richiestogli dalla parte</w:t>
      </w:r>
      <w:r w:rsidR="00455089">
        <w:rPr>
          <w:rFonts w:ascii="Century" w:hAnsi="Century" w:cs="Times"/>
          <w:b/>
          <w:color w:val="000000" w:themeColor="text1"/>
        </w:rPr>
        <w:t>,</w:t>
      </w:r>
      <w:r w:rsidR="00930FE6" w:rsidRPr="00E85B14">
        <w:rPr>
          <w:rFonts w:ascii="Century" w:hAnsi="Century" w:cs="Times"/>
          <w:b/>
          <w:color w:val="000000" w:themeColor="text1"/>
        </w:rPr>
        <w:t xml:space="preserve"> attività</w:t>
      </w:r>
      <w:r w:rsidR="00236067" w:rsidRPr="00E85B14">
        <w:rPr>
          <w:rFonts w:ascii="Century" w:hAnsi="Century" w:cs="Times"/>
          <w:b/>
          <w:color w:val="000000" w:themeColor="text1"/>
        </w:rPr>
        <w:t xml:space="preserve"> </w:t>
      </w:r>
      <w:r w:rsidR="00930FE6" w:rsidRPr="00E85B14">
        <w:rPr>
          <w:rFonts w:ascii="Century" w:hAnsi="Century" w:cs="Times"/>
          <w:b/>
          <w:color w:val="000000" w:themeColor="text1"/>
        </w:rPr>
        <w:t xml:space="preserve">questa riservata </w:t>
      </w:r>
      <w:r w:rsidR="004C5EC5" w:rsidRPr="00E85B14">
        <w:rPr>
          <w:rFonts w:ascii="Century" w:hAnsi="Century" w:cs="Times"/>
          <w:b/>
          <w:color w:val="000000" w:themeColor="text1"/>
        </w:rPr>
        <w:t xml:space="preserve">esclusivamente </w:t>
      </w:r>
      <w:r w:rsidR="00930FE6" w:rsidRPr="00E85B14">
        <w:rPr>
          <w:rFonts w:ascii="Century" w:hAnsi="Century" w:cs="Times"/>
          <w:b/>
          <w:color w:val="000000" w:themeColor="text1"/>
        </w:rPr>
        <w:t xml:space="preserve">al giudice chiamato </w:t>
      </w:r>
      <w:r w:rsidR="00B35277" w:rsidRPr="00E85B14">
        <w:rPr>
          <w:rFonts w:ascii="Century" w:hAnsi="Century" w:cs="Times"/>
          <w:b/>
          <w:color w:val="000000" w:themeColor="text1"/>
        </w:rPr>
        <w:t xml:space="preserve">eventualmente </w:t>
      </w:r>
      <w:r w:rsidR="00930FE6" w:rsidRPr="00E85B14">
        <w:rPr>
          <w:rFonts w:ascii="Century" w:hAnsi="Century" w:cs="Times"/>
          <w:b/>
          <w:color w:val="000000" w:themeColor="text1"/>
        </w:rPr>
        <w:t xml:space="preserve">a pronunciarsi sulla validità dell' atto </w:t>
      </w:r>
      <w:r w:rsidR="00930FE6" w:rsidRPr="00E85B14">
        <w:rPr>
          <w:rFonts w:ascii="Century" w:hAnsi="Century" w:cs="Times"/>
          <w:color w:val="000000" w:themeColor="text1"/>
        </w:rPr>
        <w:t>(in tal senso lo stesso articolo 162 c.p.c.).</w:t>
      </w:r>
    </w:p>
    <w:p w:rsidR="00930FE6" w:rsidRPr="00E85B14" w:rsidRDefault="00AE5034" w:rsidP="00FA1FE0">
      <w:pPr>
        <w:pStyle w:val="NormaleWeb"/>
        <w:spacing w:before="120" w:beforeAutospacing="0" w:after="120" w:afterAutospacing="0" w:line="360" w:lineRule="auto"/>
        <w:ind w:firstLine="709"/>
        <w:jc w:val="both"/>
        <w:rPr>
          <w:rFonts w:ascii="Century" w:hAnsi="Century" w:cs="Times"/>
          <w:color w:val="000000" w:themeColor="text1"/>
        </w:rPr>
      </w:pPr>
      <w:r w:rsidRPr="00E85B14">
        <w:rPr>
          <w:rFonts w:ascii="Century" w:hAnsi="Century" w:cs="Times"/>
          <w:color w:val="000000" w:themeColor="text1"/>
        </w:rPr>
        <w:t>In merito alla notificazione ex art. 140 c.p.c., l</w:t>
      </w:r>
      <w:r w:rsidR="00930FE6" w:rsidRPr="00E85B14">
        <w:rPr>
          <w:rFonts w:ascii="Century" w:hAnsi="Century" w:cs="Times"/>
          <w:color w:val="000000" w:themeColor="text1"/>
        </w:rPr>
        <w:t>a responsabilità civile dell'Ufficiale Giudiziario si ha quanto è lui stesso a commettere un atto nullo</w:t>
      </w:r>
      <w:r w:rsidRPr="00E85B14">
        <w:rPr>
          <w:rFonts w:ascii="Century" w:hAnsi="Century" w:cs="Times"/>
          <w:color w:val="000000" w:themeColor="text1"/>
        </w:rPr>
        <w:t xml:space="preserve"> </w:t>
      </w:r>
      <w:r w:rsidRPr="00E85B14">
        <w:rPr>
          <w:rFonts w:ascii="Century" w:hAnsi="Century" w:cs="Times"/>
          <w:i/>
          <w:color w:val="000000" w:themeColor="text1"/>
        </w:rPr>
        <w:t xml:space="preserve">– ad esempio </w:t>
      </w:r>
      <w:r w:rsidR="00686397" w:rsidRPr="00E85B14">
        <w:rPr>
          <w:rFonts w:ascii="Century" w:hAnsi="Century" w:cs="Times"/>
          <w:i/>
          <w:color w:val="000000" w:themeColor="text1"/>
        </w:rPr>
        <w:t xml:space="preserve">notifica un atto con la predetta formalità anche quando </w:t>
      </w:r>
      <w:r w:rsidRPr="00E85B14">
        <w:rPr>
          <w:rFonts w:ascii="Century" w:hAnsi="Century" w:cs="Times"/>
          <w:i/>
          <w:color w:val="000000" w:themeColor="text1"/>
        </w:rPr>
        <w:t>è a conoscenza che il destinatario si è trasferito altrove</w:t>
      </w:r>
      <w:r w:rsidRPr="00E85B14">
        <w:rPr>
          <w:rFonts w:ascii="Century" w:hAnsi="Century" w:cs="Times"/>
          <w:color w:val="000000" w:themeColor="text1"/>
        </w:rPr>
        <w:t xml:space="preserve"> - </w:t>
      </w:r>
      <w:r w:rsidR="00930FE6" w:rsidRPr="00E85B14">
        <w:rPr>
          <w:rFonts w:ascii="Century" w:hAnsi="Century" w:cs="Times"/>
          <w:color w:val="000000" w:themeColor="text1"/>
        </w:rPr>
        <w:t xml:space="preserve"> e ne risponde penalmente quando vi è una eventuale querela di falso. </w:t>
      </w:r>
    </w:p>
    <w:p w:rsidR="00FA1FE0" w:rsidRPr="00E85B14" w:rsidRDefault="00FA1FE0" w:rsidP="00FA1FE0">
      <w:pPr>
        <w:pStyle w:val="NormaleWeb"/>
        <w:spacing w:before="120" w:beforeAutospacing="0" w:after="120" w:afterAutospacing="0" w:line="360" w:lineRule="auto"/>
        <w:ind w:firstLine="709"/>
        <w:jc w:val="both"/>
        <w:rPr>
          <w:rFonts w:ascii="Century" w:hAnsi="Century" w:cs="Times"/>
          <w:color w:val="000000" w:themeColor="text1"/>
        </w:rPr>
      </w:pPr>
      <w:r w:rsidRPr="00E85B14">
        <w:rPr>
          <w:rFonts w:ascii="Century" w:hAnsi="Century" w:cs="Times"/>
          <w:color w:val="000000" w:themeColor="text1"/>
        </w:rPr>
        <w:t>Forlì 14 settembre 2021</w:t>
      </w:r>
    </w:p>
    <w:p w:rsidR="00FA1FE0" w:rsidRPr="00E85B14" w:rsidRDefault="00FA1FE0" w:rsidP="00FA1FE0">
      <w:pPr>
        <w:pStyle w:val="NormaleWeb"/>
        <w:spacing w:before="120" w:beforeAutospacing="0" w:after="120" w:afterAutospacing="0" w:line="360" w:lineRule="auto"/>
        <w:ind w:firstLine="709"/>
        <w:jc w:val="both"/>
        <w:rPr>
          <w:rFonts w:ascii="Century" w:hAnsi="Century" w:cs="Times"/>
          <w:color w:val="000000" w:themeColor="text1"/>
        </w:rPr>
      </w:pPr>
      <w:r w:rsidRPr="00E85B14">
        <w:rPr>
          <w:rFonts w:ascii="Century" w:hAnsi="Century" w:cs="Times"/>
          <w:color w:val="000000" w:themeColor="text1"/>
        </w:rPr>
        <w:t>Il Presidente</w:t>
      </w:r>
    </w:p>
    <w:p w:rsidR="00FA1FE0" w:rsidRPr="00E85B14" w:rsidRDefault="00FA1FE0" w:rsidP="00FA1FE0">
      <w:pPr>
        <w:pStyle w:val="NormaleWeb"/>
        <w:spacing w:before="120" w:beforeAutospacing="0" w:after="120" w:afterAutospacing="0" w:line="360" w:lineRule="auto"/>
        <w:ind w:firstLine="709"/>
        <w:jc w:val="right"/>
        <w:rPr>
          <w:rFonts w:ascii="Century" w:hAnsi="Century" w:cs="Times"/>
          <w:color w:val="000000" w:themeColor="text1"/>
        </w:rPr>
      </w:pPr>
      <w:r w:rsidRPr="00E85B14">
        <w:rPr>
          <w:rFonts w:ascii="Century" w:hAnsi="Century" w:cs="Times"/>
          <w:color w:val="000000" w:themeColor="text1"/>
        </w:rPr>
        <w:t>Dott.ssa Rossella Talia</w:t>
      </w:r>
    </w:p>
    <w:p w:rsidR="00930FE6" w:rsidRDefault="00930FE6" w:rsidP="00255D4C">
      <w:pPr>
        <w:pStyle w:val="NormaleWeb"/>
        <w:spacing w:before="0" w:beforeAutospacing="0" w:after="0" w:afterAutospacing="0"/>
        <w:jc w:val="both"/>
        <w:rPr>
          <w:rFonts w:ascii="Garamond" w:hAnsi="Garamond" w:cs="Times"/>
          <w:color w:val="000000" w:themeColor="text1"/>
          <w:sz w:val="28"/>
          <w:szCs w:val="28"/>
        </w:rPr>
      </w:pPr>
    </w:p>
    <w:p w:rsidR="00653C05" w:rsidRPr="003B68A5" w:rsidRDefault="00653C05" w:rsidP="00653C05">
      <w:pPr>
        <w:pStyle w:val="liscio"/>
        <w:shd w:val="clear" w:color="auto" w:fill="FFFFFF"/>
        <w:spacing w:before="0" w:beforeAutospacing="0" w:after="0" w:afterAutospacing="0"/>
        <w:ind w:left="1429"/>
        <w:jc w:val="both"/>
        <w:rPr>
          <w:rFonts w:ascii="Garamond" w:hAnsi="Garamond"/>
          <w:i/>
          <w:color w:val="000000" w:themeColor="text1"/>
          <w:sz w:val="28"/>
          <w:szCs w:val="28"/>
        </w:rPr>
      </w:pPr>
    </w:p>
    <w:sectPr w:rsidR="00653C05" w:rsidRPr="003B68A5" w:rsidSect="001A66B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4EA"/>
    <w:multiLevelType w:val="hybridMultilevel"/>
    <w:tmpl w:val="15FEEF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6A5053"/>
    <w:multiLevelType w:val="hybridMultilevel"/>
    <w:tmpl w:val="15FEEF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44"/>
    <w:rsid w:val="00044559"/>
    <w:rsid w:val="000629DB"/>
    <w:rsid w:val="0006437E"/>
    <w:rsid w:val="00066A44"/>
    <w:rsid w:val="000736DA"/>
    <w:rsid w:val="00162D53"/>
    <w:rsid w:val="001A66B2"/>
    <w:rsid w:val="001F4077"/>
    <w:rsid w:val="00236067"/>
    <w:rsid w:val="00255D4C"/>
    <w:rsid w:val="00296FE6"/>
    <w:rsid w:val="003B68A5"/>
    <w:rsid w:val="003E1E49"/>
    <w:rsid w:val="0043590D"/>
    <w:rsid w:val="00444A2B"/>
    <w:rsid w:val="004508E0"/>
    <w:rsid w:val="00455089"/>
    <w:rsid w:val="004C5EC5"/>
    <w:rsid w:val="004E63B5"/>
    <w:rsid w:val="00524263"/>
    <w:rsid w:val="00537019"/>
    <w:rsid w:val="005777BD"/>
    <w:rsid w:val="005B5812"/>
    <w:rsid w:val="005E0A08"/>
    <w:rsid w:val="005E6017"/>
    <w:rsid w:val="00653C05"/>
    <w:rsid w:val="00686397"/>
    <w:rsid w:val="00754C2C"/>
    <w:rsid w:val="00756622"/>
    <w:rsid w:val="00757EB8"/>
    <w:rsid w:val="007B6846"/>
    <w:rsid w:val="007D10BC"/>
    <w:rsid w:val="00814EC8"/>
    <w:rsid w:val="0091084D"/>
    <w:rsid w:val="00930FE6"/>
    <w:rsid w:val="009F2F43"/>
    <w:rsid w:val="00A8671A"/>
    <w:rsid w:val="00AA6F94"/>
    <w:rsid w:val="00AE5034"/>
    <w:rsid w:val="00B35277"/>
    <w:rsid w:val="00BC4BDE"/>
    <w:rsid w:val="00C835EA"/>
    <w:rsid w:val="00E85B14"/>
    <w:rsid w:val="00F303BD"/>
    <w:rsid w:val="00F449E0"/>
    <w:rsid w:val="00FA1FE0"/>
    <w:rsid w:val="00FC5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9164E-64C5-4C8D-B4D4-D3BD8FE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36DA"/>
    <w:pPr>
      <w:ind w:left="720"/>
      <w:contextualSpacing/>
    </w:pPr>
  </w:style>
  <w:style w:type="character" w:styleId="Enfasicorsivo">
    <w:name w:val="Emphasis"/>
    <w:basedOn w:val="Carpredefinitoparagrafo"/>
    <w:uiPriority w:val="20"/>
    <w:qFormat/>
    <w:rsid w:val="000736DA"/>
    <w:rPr>
      <w:i/>
      <w:iCs/>
    </w:rPr>
  </w:style>
  <w:style w:type="paragraph" w:customStyle="1" w:styleId="liscio">
    <w:name w:val="liscio"/>
    <w:basedOn w:val="Normale"/>
    <w:rsid w:val="000736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nhideWhenUsed/>
    <w:rsid w:val="00653C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A66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6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6947">
      <w:bodyDiv w:val="1"/>
      <w:marLeft w:val="0"/>
      <w:marRight w:val="0"/>
      <w:marTop w:val="0"/>
      <w:marBottom w:val="0"/>
      <w:divBdr>
        <w:top w:val="none" w:sz="0" w:space="0" w:color="auto"/>
        <w:left w:val="none" w:sz="0" w:space="0" w:color="auto"/>
        <w:bottom w:val="none" w:sz="0" w:space="0" w:color="auto"/>
        <w:right w:val="none" w:sz="0" w:space="0" w:color="auto"/>
      </w:divBdr>
    </w:div>
    <w:div w:id="11189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Arcangelo D'aurora</dc:creator>
  <cp:keywords/>
  <dc:description/>
  <cp:lastModifiedBy>Arcangelo D'aurora</cp:lastModifiedBy>
  <cp:revision>14</cp:revision>
  <cp:lastPrinted>2021-09-14T07:43:00Z</cp:lastPrinted>
  <dcterms:created xsi:type="dcterms:W3CDTF">2021-09-14T06:35:00Z</dcterms:created>
  <dcterms:modified xsi:type="dcterms:W3CDTF">2021-09-14T08:27:00Z</dcterms:modified>
</cp:coreProperties>
</file>